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中国农业科学院哈尔滨兽医研究所</w:t>
      </w:r>
    </w:p>
    <w:p>
      <w:pPr>
        <w:spacing w:line="220" w:lineRule="atLeast"/>
        <w:jc w:val="center"/>
        <w:rPr>
          <w:rFonts w:asciiTheme="minorEastAsia" w:hAnsiTheme="minorEastAsia" w:eastAsiaTheme="minorEastAsia"/>
          <w:b/>
          <w:sz w:val="44"/>
          <w:szCs w:val="44"/>
        </w:rPr>
      </w:pPr>
      <w:r>
        <w:rPr>
          <w:rFonts w:hint="eastAsia" w:asciiTheme="minorEastAsia" w:hAnsiTheme="minorEastAsia" w:eastAsiaTheme="minorEastAsia"/>
          <w:b/>
          <w:sz w:val="44"/>
          <w:szCs w:val="44"/>
        </w:rPr>
        <w:t>202</w:t>
      </w:r>
      <w:r>
        <w:rPr>
          <w:rFonts w:hint="eastAsia" w:asciiTheme="minorEastAsia" w:hAnsiTheme="minorEastAsia" w:eastAsiaTheme="minorEastAsia"/>
          <w:b/>
          <w:sz w:val="44"/>
          <w:szCs w:val="44"/>
          <w:lang w:val="en-US" w:eastAsia="zh-CN"/>
        </w:rPr>
        <w:t>2</w:t>
      </w:r>
      <w:r>
        <w:rPr>
          <w:rFonts w:hint="eastAsia" w:asciiTheme="minorEastAsia" w:hAnsiTheme="minorEastAsia" w:eastAsiaTheme="minorEastAsia"/>
          <w:b/>
          <w:sz w:val="44"/>
          <w:szCs w:val="44"/>
        </w:rPr>
        <w:t>年第</w:t>
      </w:r>
      <w:r>
        <w:rPr>
          <w:rFonts w:hint="eastAsia" w:asciiTheme="minorEastAsia" w:hAnsiTheme="minorEastAsia" w:eastAsiaTheme="minorEastAsia"/>
          <w:b/>
          <w:sz w:val="44"/>
          <w:szCs w:val="44"/>
          <w:lang w:val="en-US" w:eastAsia="zh-CN"/>
        </w:rPr>
        <w:t>二</w:t>
      </w:r>
      <w:bookmarkStart w:id="1" w:name="_GoBack"/>
      <w:bookmarkEnd w:id="1"/>
      <w:r>
        <w:rPr>
          <w:rFonts w:hint="eastAsia" w:asciiTheme="minorEastAsia" w:hAnsiTheme="minorEastAsia" w:eastAsiaTheme="minorEastAsia"/>
          <w:b/>
          <w:sz w:val="44"/>
          <w:szCs w:val="44"/>
        </w:rPr>
        <w:t>季度环境行为报告书</w:t>
      </w:r>
    </w:p>
    <w:p>
      <w:pPr>
        <w:spacing w:line="220" w:lineRule="atLeast"/>
        <w:jc w:val="center"/>
        <w:rPr>
          <w:sz w:val="44"/>
          <w:szCs w:val="44"/>
        </w:rPr>
      </w:pPr>
    </w:p>
    <w:p>
      <w:pPr>
        <w:spacing w:line="220" w:lineRule="atLeast"/>
        <w:jc w:val="center"/>
        <w:rPr>
          <w:sz w:val="44"/>
          <w:szCs w:val="44"/>
        </w:rPr>
      </w:pPr>
    </w:p>
    <w:p>
      <w:pPr>
        <w:spacing w:line="220" w:lineRule="atLeast"/>
        <w:jc w:val="center"/>
      </w:pPr>
      <w:r>
        <w:rPr>
          <w:rFonts w:hint="eastAsia"/>
        </w:rPr>
        <w:drawing>
          <wp:inline distT="0" distB="0" distL="0" distR="0">
            <wp:extent cx="5553075" cy="3276600"/>
            <wp:effectExtent l="19050" t="0" r="9525" b="0"/>
            <wp:docPr id="1" name="图片 0" descr="90c690139985e38a1e6234fe99417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0" descr="90c690139985e38a1e6234fe9941786.jpg"/>
                    <pic:cNvPicPr>
                      <a:picLocks noChangeAspect="1"/>
                    </pic:cNvPicPr>
                  </pic:nvPicPr>
                  <pic:blipFill>
                    <a:blip r:embed="rId6" cstate="print"/>
                    <a:stretch>
                      <a:fillRect/>
                    </a:stretch>
                  </pic:blipFill>
                  <pic:spPr>
                    <a:xfrm>
                      <a:off x="0" y="0"/>
                      <a:ext cx="5553075" cy="3276600"/>
                    </a:xfrm>
                    <a:prstGeom prst="rect">
                      <a:avLst/>
                    </a:prstGeom>
                  </pic:spPr>
                </pic:pic>
              </a:graphicData>
            </a:graphic>
          </wp:inline>
        </w:drawing>
      </w:r>
    </w:p>
    <w:p>
      <w:pPr>
        <w:spacing w:line="220" w:lineRule="atLeast"/>
        <w:jc w:val="center"/>
      </w:pPr>
    </w:p>
    <w:p>
      <w:pPr>
        <w:spacing w:line="220" w:lineRule="atLeast"/>
        <w:jc w:val="center"/>
      </w:pPr>
    </w:p>
    <w:p>
      <w:pPr>
        <w:spacing w:line="220" w:lineRule="atLeast"/>
        <w:jc w:val="center"/>
      </w:pPr>
    </w:p>
    <w:p>
      <w:pPr>
        <w:spacing w:line="220" w:lineRule="atLeast"/>
        <w:jc w:val="center"/>
      </w:pPr>
    </w:p>
    <w:p>
      <w:pPr>
        <w:spacing w:line="220" w:lineRule="atLeast"/>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中国农业科学院哈尔滨兽医研究所</w:t>
      </w:r>
    </w:p>
    <w:p>
      <w:pPr>
        <w:spacing w:line="220" w:lineRule="atLeast"/>
        <w:jc w:val="center"/>
        <w:rPr>
          <w:rFonts w:asciiTheme="majorEastAsia" w:hAnsiTheme="majorEastAsia" w:eastAsiaTheme="majorEastAsia"/>
          <w:sz w:val="32"/>
          <w:szCs w:val="32"/>
        </w:rPr>
      </w:pPr>
      <w:r>
        <w:rPr>
          <w:rFonts w:hint="eastAsia" w:asciiTheme="majorEastAsia" w:hAnsiTheme="majorEastAsia" w:eastAsiaTheme="majorEastAsia"/>
          <w:sz w:val="32"/>
          <w:szCs w:val="32"/>
        </w:rPr>
        <w:t>202</w:t>
      </w:r>
      <w:r>
        <w:rPr>
          <w:rFonts w:hint="eastAsia" w:asciiTheme="majorEastAsia" w:hAnsiTheme="majorEastAsia" w:eastAsiaTheme="majorEastAsia"/>
          <w:sz w:val="32"/>
          <w:szCs w:val="32"/>
          <w:lang w:val="en-US" w:eastAsia="zh-CN"/>
        </w:rPr>
        <w:t>2</w:t>
      </w:r>
      <w:r>
        <w:rPr>
          <w:rFonts w:hint="eastAsia" w:asciiTheme="majorEastAsia" w:hAnsiTheme="majorEastAsia" w:eastAsiaTheme="majorEastAsia"/>
          <w:sz w:val="32"/>
          <w:szCs w:val="32"/>
        </w:rPr>
        <w:t>年</w:t>
      </w:r>
      <w:r>
        <w:rPr>
          <w:rFonts w:hint="eastAsia" w:asciiTheme="majorEastAsia" w:hAnsiTheme="majorEastAsia" w:eastAsiaTheme="majorEastAsia"/>
          <w:sz w:val="32"/>
          <w:szCs w:val="32"/>
          <w:lang w:val="en-US" w:eastAsia="zh-CN"/>
        </w:rPr>
        <w:t>7</w:t>
      </w:r>
      <w:r>
        <w:rPr>
          <w:rFonts w:hint="eastAsia" w:asciiTheme="majorEastAsia" w:hAnsiTheme="majorEastAsia" w:eastAsiaTheme="majorEastAsia"/>
          <w:sz w:val="32"/>
          <w:szCs w:val="32"/>
        </w:rPr>
        <w:t>月</w:t>
      </w:r>
      <w:r>
        <w:rPr>
          <w:rFonts w:hint="eastAsia" w:asciiTheme="majorEastAsia" w:hAnsiTheme="majorEastAsia" w:eastAsiaTheme="majorEastAsia"/>
          <w:sz w:val="32"/>
          <w:szCs w:val="32"/>
          <w:lang w:val="en-US" w:eastAsia="zh-CN"/>
        </w:rPr>
        <w:t>22</w:t>
      </w:r>
      <w:r>
        <w:rPr>
          <w:rFonts w:hint="eastAsia" w:asciiTheme="majorEastAsia" w:hAnsiTheme="majorEastAsia" w:eastAsiaTheme="majorEastAsia"/>
          <w:sz w:val="32"/>
          <w:szCs w:val="32"/>
        </w:rPr>
        <w:t>日</w:t>
      </w:r>
    </w:p>
    <w:p>
      <w:pPr>
        <w:adjustRightInd/>
        <w:snapToGrid/>
        <w:spacing w:line="220" w:lineRule="atLeast"/>
        <w:rPr>
          <w:rFonts w:asciiTheme="majorEastAsia" w:hAnsiTheme="majorEastAsia" w:eastAsiaTheme="majorEastAsia"/>
          <w:sz w:val="32"/>
          <w:szCs w:val="32"/>
        </w:rPr>
      </w:pPr>
      <w:r>
        <w:rPr>
          <w:rFonts w:asciiTheme="majorEastAsia" w:hAnsiTheme="majorEastAsia" w:eastAsiaTheme="majorEastAsia"/>
          <w:sz w:val="32"/>
          <w:szCs w:val="32"/>
        </w:rPr>
        <w:br w:type="page"/>
      </w:r>
    </w:p>
    <w:p>
      <w:pPr>
        <w:pStyle w:val="5"/>
        <w:numPr>
          <w:ilvl w:val="0"/>
          <w:numId w:val="1"/>
        </w:numPr>
        <w:spacing w:before="0" w:beforeAutospacing="0" w:after="0" w:afterAutospacing="0"/>
        <w:rPr>
          <w:rFonts w:hint="default" w:asciiTheme="minorEastAsia" w:hAnsiTheme="minorEastAsia" w:eastAsiaTheme="minorEastAsia"/>
          <w:color w:val="auto"/>
          <w:sz w:val="30"/>
          <w:szCs w:val="30"/>
        </w:rPr>
      </w:pPr>
      <w:r>
        <w:rPr>
          <w:rFonts w:asciiTheme="minorEastAsia" w:hAnsiTheme="minorEastAsia" w:eastAsiaTheme="minorEastAsia"/>
          <w:color w:val="auto"/>
          <w:sz w:val="32"/>
          <w:szCs w:val="32"/>
        </w:rPr>
        <w:t>企</w:t>
      </w:r>
      <w:r>
        <w:rPr>
          <w:rFonts w:asciiTheme="minorEastAsia" w:hAnsiTheme="minorEastAsia" w:eastAsiaTheme="minorEastAsia"/>
          <w:color w:val="auto"/>
          <w:sz w:val="30"/>
          <w:szCs w:val="30"/>
        </w:rPr>
        <w:t>业基本情况</w:t>
      </w:r>
    </w:p>
    <w:p>
      <w:pPr>
        <w:pStyle w:val="5"/>
        <w:spacing w:before="0" w:beforeAutospacing="0" w:after="0" w:afterAutospacing="0"/>
        <w:rPr>
          <w:rFonts w:hint="default"/>
          <w:color w:val="auto"/>
          <w:sz w:val="30"/>
          <w:szCs w:val="30"/>
        </w:rPr>
      </w:pPr>
    </w:p>
    <w:tbl>
      <w:tblPr>
        <w:tblStyle w:val="6"/>
        <w:tblW w:w="516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47"/>
        <w:gridCol w:w="1885"/>
        <w:gridCol w:w="66"/>
        <w:gridCol w:w="1639"/>
        <w:gridCol w:w="145"/>
        <w:gridCol w:w="21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6" w:hRule="atLeast"/>
          <w:tblHeader/>
          <w:jc w:val="center"/>
        </w:trPr>
        <w:tc>
          <w:tcPr>
            <w:tcW w:w="1818" w:type="pct"/>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30"/>
                <w:szCs w:val="30"/>
              </w:rPr>
            </w:pPr>
            <w:r>
              <w:rPr>
                <w:rFonts w:ascii="宋体" w:hAnsi="宋体" w:eastAsia="宋体" w:cs="Times New Roman"/>
                <w:sz w:val="30"/>
                <w:szCs w:val="30"/>
              </w:rPr>
              <w:t>项目</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jc w:val="center"/>
              <w:rPr>
                <w:rFonts w:ascii="宋体" w:hAnsi="宋体" w:eastAsia="宋体" w:cs="Times New Roman"/>
                <w:sz w:val="30"/>
                <w:szCs w:val="30"/>
              </w:rPr>
            </w:pPr>
            <w:r>
              <w:rPr>
                <w:rFonts w:ascii="宋体" w:hAnsi="宋体" w:eastAsia="宋体" w:cs="Times New Roman"/>
                <w:sz w:val="30"/>
                <w:szCs w:val="30"/>
              </w:rPr>
              <w:t>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单位名称</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中国农业科学院哈尔滨兽医研究所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建厂日期</w:t>
            </w:r>
          </w:p>
        </w:tc>
        <w:tc>
          <w:tcPr>
            <w:tcW w:w="1024"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1948年6月</w:t>
            </w:r>
          </w:p>
        </w:tc>
        <w:tc>
          <w:tcPr>
            <w:tcW w:w="1005" w:type="pct"/>
            <w:gridSpan w:val="3"/>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改扩建日期</w:t>
            </w:r>
          </w:p>
        </w:tc>
        <w:tc>
          <w:tcPr>
            <w:tcW w:w="1153"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20</w:t>
            </w:r>
            <w:r>
              <w:rPr>
                <w:rFonts w:hint="eastAsia" w:ascii="宋体" w:hAnsi="宋体" w:eastAsia="宋体" w:cs="Times New Roman"/>
                <w:sz w:val="30"/>
                <w:szCs w:val="30"/>
              </w:rPr>
              <w:t>19</w:t>
            </w:r>
            <w:r>
              <w:rPr>
                <w:rFonts w:ascii="宋体" w:hAnsi="宋体" w:eastAsia="宋体" w:cs="Times New Roman"/>
                <w:sz w:val="30"/>
                <w:szCs w:val="30"/>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单位所在地</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哈尔滨市香坊区哈平路678号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748"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地理位置（经纬度）</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东经：126°39′30″    北纬：45°37′31″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法人代表</w:t>
            </w:r>
          </w:p>
        </w:tc>
        <w:tc>
          <w:tcPr>
            <w:tcW w:w="1060" w:type="pct"/>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步志高</w:t>
            </w:r>
          </w:p>
        </w:tc>
        <w:tc>
          <w:tcPr>
            <w:tcW w:w="89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行业代码</w:t>
            </w:r>
          </w:p>
        </w:tc>
        <w:tc>
          <w:tcPr>
            <w:tcW w:w="1232" w:type="pct"/>
            <w:gridSpan w:val="2"/>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Times New Roman"/>
                <w:sz w:val="30"/>
                <w:szCs w:val="30"/>
                <w:lang w:val="en-US" w:eastAsia="zh-CN"/>
              </w:rPr>
            </w:pPr>
            <w:r>
              <w:rPr>
                <w:rFonts w:ascii="宋体" w:hAnsi="宋体" w:eastAsia="宋体" w:cs="Times New Roman"/>
                <w:sz w:val="30"/>
                <w:szCs w:val="30"/>
              </w:rPr>
              <w:t>M7</w:t>
            </w:r>
            <w:r>
              <w:rPr>
                <w:rFonts w:hint="eastAsia" w:ascii="宋体" w:hAnsi="宋体" w:eastAsia="宋体" w:cs="Times New Roman"/>
                <w:sz w:val="30"/>
                <w:szCs w:val="30"/>
                <w:lang w:val="en-US" w:eastAsia="zh-CN"/>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主要联系方式</w:t>
            </w:r>
          </w:p>
        </w:tc>
        <w:tc>
          <w:tcPr>
            <w:tcW w:w="1060" w:type="pct"/>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hint="eastAsia" w:cs="Times New Roman" w:asciiTheme="minorEastAsia" w:hAnsiTheme="minorEastAsia" w:eastAsiaTheme="minorEastAsia"/>
                <w:sz w:val="30"/>
                <w:szCs w:val="30"/>
              </w:rPr>
              <w:t>15546505376</w:t>
            </w:r>
          </w:p>
        </w:tc>
        <w:tc>
          <w:tcPr>
            <w:tcW w:w="890"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所属</w:t>
            </w:r>
            <w:bookmarkStart w:id="0" w:name="OLE_LINK6"/>
            <w:r>
              <w:rPr>
                <w:rFonts w:ascii="宋体" w:hAnsi="宋体" w:eastAsia="宋体" w:cs="Times New Roman"/>
                <w:sz w:val="30"/>
                <w:szCs w:val="30"/>
              </w:rPr>
              <w:t>行业类别</w:t>
            </w:r>
            <w:bookmarkEnd w:id="0"/>
          </w:p>
        </w:tc>
        <w:tc>
          <w:tcPr>
            <w:tcW w:w="1232" w:type="pct"/>
            <w:gridSpan w:val="2"/>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研究与试验发展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hint="eastAsia" w:cs="Times New Roman" w:asciiTheme="minorEastAsia" w:hAnsiTheme="minorEastAsia" w:eastAsiaTheme="minorEastAsia"/>
                <w:sz w:val="30"/>
                <w:szCs w:val="30"/>
              </w:rPr>
              <w:t>组织机构代码</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hint="eastAsia" w:cs="Times New Roman" w:asciiTheme="minorEastAsia" w:hAnsiTheme="minorEastAsia" w:eastAsiaTheme="minorEastAsia"/>
                <w:sz w:val="30"/>
                <w:szCs w:val="30"/>
              </w:rPr>
              <w:t>12100000424009324A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818" w:type="pct"/>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占地面积m</w:t>
            </w:r>
            <w:r>
              <w:rPr>
                <w:rFonts w:ascii="宋体" w:hAnsi="宋体" w:eastAsia="宋体" w:cs="Times New Roman"/>
                <w:sz w:val="30"/>
                <w:szCs w:val="30"/>
                <w:vertAlign w:val="superscript"/>
              </w:rPr>
              <w:t>2</w:t>
            </w:r>
          </w:p>
        </w:tc>
        <w:tc>
          <w:tcPr>
            <w:tcW w:w="3182" w:type="pct"/>
            <w:gridSpan w:val="5"/>
            <w:tcBorders>
              <w:top w:val="single" w:color="auto" w:sz="4" w:space="0"/>
              <w:left w:val="single" w:color="auto" w:sz="4" w:space="0"/>
              <w:bottom w:val="single" w:color="auto" w:sz="4" w:space="0"/>
              <w:right w:val="single" w:color="auto" w:sz="4" w:space="0"/>
            </w:tcBorders>
            <w:vAlign w:val="center"/>
          </w:tcPr>
          <w:p>
            <w:pPr>
              <w:rPr>
                <w:rFonts w:ascii="宋体" w:hAnsi="宋体" w:eastAsia="宋体" w:cs="Times New Roman"/>
                <w:sz w:val="30"/>
                <w:szCs w:val="30"/>
              </w:rPr>
            </w:pPr>
            <w:r>
              <w:rPr>
                <w:rFonts w:ascii="宋体" w:hAnsi="宋体" w:eastAsia="宋体" w:cs="Times New Roman"/>
                <w:sz w:val="30"/>
                <w:szCs w:val="30"/>
              </w:rPr>
              <w:t>1</w:t>
            </w:r>
            <w:r>
              <w:rPr>
                <w:rFonts w:hint="eastAsia" w:ascii="宋体" w:hAnsi="宋体" w:eastAsia="宋体" w:cs="Times New Roman"/>
                <w:sz w:val="30"/>
                <w:szCs w:val="30"/>
              </w:rPr>
              <w:t>95</w:t>
            </w:r>
            <w:r>
              <w:rPr>
                <w:rFonts w:ascii="宋体" w:hAnsi="宋体" w:eastAsia="宋体" w:cs="Times New Roman"/>
                <w:sz w:val="30"/>
                <w:szCs w:val="30"/>
              </w:rPr>
              <w:t>000</w:t>
            </w:r>
          </w:p>
        </w:tc>
      </w:tr>
    </w:tbl>
    <w:p>
      <w:pPr>
        <w:spacing w:line="220" w:lineRule="atLeast"/>
        <w:rPr>
          <w:rFonts w:asciiTheme="minorEastAsia" w:hAnsiTheme="minorEastAsia" w:eastAsiaTheme="minorEastAsia"/>
          <w:sz w:val="30"/>
          <w:szCs w:val="30"/>
        </w:rPr>
      </w:pPr>
    </w:p>
    <w:p>
      <w:pPr>
        <w:pStyle w:val="12"/>
        <w:numPr>
          <w:ilvl w:val="0"/>
          <w:numId w:val="1"/>
        </w:numPr>
        <w:spacing w:line="220" w:lineRule="atLeast"/>
        <w:ind w:firstLineChars="0"/>
        <w:jc w:val="both"/>
        <w:rPr>
          <w:rFonts w:asciiTheme="minorEastAsia" w:hAnsiTheme="minorEastAsia" w:eastAsiaTheme="minorEastAsia"/>
          <w:sz w:val="30"/>
          <w:szCs w:val="30"/>
        </w:rPr>
      </w:pPr>
      <w:r>
        <w:rPr>
          <w:rFonts w:hint="eastAsia" w:asciiTheme="minorEastAsia" w:hAnsiTheme="minorEastAsia" w:eastAsiaTheme="minorEastAsia"/>
          <w:sz w:val="30"/>
          <w:szCs w:val="30"/>
        </w:rPr>
        <w:t>排污信息</w:t>
      </w:r>
    </w:p>
    <w:tbl>
      <w:tblPr>
        <w:tblStyle w:val="7"/>
        <w:tblW w:w="978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53"/>
        <w:gridCol w:w="1417"/>
        <w:gridCol w:w="709"/>
        <w:gridCol w:w="1276"/>
        <w:gridCol w:w="1134"/>
        <w:gridCol w:w="141"/>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主要污染物类别</w:t>
            </w:r>
          </w:p>
        </w:tc>
        <w:tc>
          <w:tcPr>
            <w:tcW w:w="7229" w:type="dxa"/>
            <w:gridSpan w:val="6"/>
          </w:tcPr>
          <w:p>
            <w:pPr>
              <w:pStyle w:val="12"/>
              <w:spacing w:after="0" w:line="220" w:lineRule="atLeast"/>
              <w:ind w:firstLine="0" w:firstLineChars="0"/>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 xml:space="preserve">废气  </w:t>
            </w:r>
            <w:r>
              <w:rPr>
                <w:rFonts w:hAnsi="MS Mincho" w:cs="MS Mincho" w:asciiTheme="minorEastAsia" w:eastAsiaTheme="minorEastAsia"/>
                <w:sz w:val="30"/>
                <w:szCs w:val="30"/>
              </w:rPr>
              <w:t>☑</w:t>
            </w:r>
            <w:r>
              <w:rPr>
                <w:rFonts w:hint="eastAsia" w:cs="MS Mincho" w:asciiTheme="minorEastAsia" w:hAnsiTheme="minorEastAsia" w:eastAsiaTheme="minorEastAsia"/>
                <w:sz w:val="30"/>
                <w:szCs w:val="30"/>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8" w:hRule="atLeast"/>
        </w:trPr>
        <w:tc>
          <w:tcPr>
            <w:tcW w:w="2553" w:type="dxa"/>
          </w:tcPr>
          <w:p>
            <w:pPr>
              <w:pStyle w:val="12"/>
              <w:spacing w:after="0" w:line="220" w:lineRule="atLeast"/>
              <w:ind w:firstLine="0" w:firstLineChars="0"/>
              <w:jc w:val="center"/>
              <w:rPr>
                <w:rFonts w:asciiTheme="minorEastAsia" w:hAnsiTheme="minorEastAsia" w:eastAsiaTheme="minorEastAsia"/>
                <w:sz w:val="30"/>
                <w:szCs w:val="30"/>
              </w:rPr>
            </w:pPr>
          </w:p>
          <w:p>
            <w:pPr>
              <w:pStyle w:val="12"/>
              <w:spacing w:after="0" w:line="220" w:lineRule="atLeast"/>
              <w:ind w:firstLine="0" w:firstLineChars="0"/>
              <w:jc w:val="center"/>
              <w:rPr>
                <w:rFonts w:asciiTheme="minorEastAsia" w:hAnsiTheme="minorEastAsia" w:eastAsiaTheme="minorEastAsia"/>
                <w:sz w:val="30"/>
                <w:szCs w:val="30"/>
              </w:rPr>
            </w:pPr>
          </w:p>
          <w:p>
            <w:pPr>
              <w:pStyle w:val="12"/>
              <w:spacing w:after="0" w:line="220" w:lineRule="atLeast"/>
              <w:ind w:firstLine="0" w:firstLineChars="0"/>
              <w:jc w:val="center"/>
              <w:rPr>
                <w:rFonts w:asciiTheme="minorEastAsia" w:hAnsiTheme="minorEastAsia" w:eastAsiaTheme="minorEastAsia"/>
                <w:sz w:val="30"/>
                <w:szCs w:val="30"/>
              </w:rPr>
            </w:pPr>
          </w:p>
          <w:p>
            <w:pPr>
              <w:pStyle w:val="12"/>
              <w:spacing w:after="0" w:line="220" w:lineRule="atLeast"/>
              <w:ind w:firstLine="0" w:firstLineChars="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主要污染物种类</w:t>
            </w:r>
          </w:p>
        </w:tc>
        <w:tc>
          <w:tcPr>
            <w:tcW w:w="3402" w:type="dxa"/>
            <w:gridSpan w:val="3"/>
          </w:tcPr>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颗粒物</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SO2</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NOx</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VOCs</w:t>
            </w:r>
          </w:p>
          <w:p>
            <w:pPr>
              <w:pStyle w:val="12"/>
              <w:spacing w:after="0" w:line="220" w:lineRule="atLeast"/>
              <w:ind w:firstLine="0" w:firstLineChars="0"/>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其他特征污染物（林格曼黑毒）</w:t>
            </w:r>
          </w:p>
        </w:tc>
        <w:tc>
          <w:tcPr>
            <w:tcW w:w="3827" w:type="dxa"/>
            <w:gridSpan w:val="3"/>
          </w:tcPr>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COD</w:t>
            </w:r>
          </w:p>
          <w:p>
            <w:pPr>
              <w:pStyle w:val="12"/>
              <w:spacing w:after="0" w:line="220" w:lineRule="atLeast"/>
              <w:ind w:firstLine="0" w:firstLineChars="0"/>
              <w:rPr>
                <w:rFonts w:cs="MS Mincho"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氨氮</w:t>
            </w:r>
          </w:p>
          <w:p>
            <w:pPr>
              <w:pStyle w:val="12"/>
              <w:spacing w:after="0" w:line="220" w:lineRule="atLeast"/>
              <w:ind w:firstLine="0" w:firstLineChars="0"/>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其他特征污染物（</w:t>
            </w:r>
            <w:r>
              <w:rPr>
                <w:rFonts w:hint="eastAsia" w:cs="MS Mincho" w:asciiTheme="minorEastAsia" w:hAnsiTheme="minorEastAsia" w:eastAsiaTheme="minorEastAsia"/>
                <w:sz w:val="30"/>
                <w:szCs w:val="30"/>
                <w:lang w:eastAsia="zh-CN"/>
              </w:rPr>
              <w:t>总余氯，</w:t>
            </w:r>
            <w:r>
              <w:rPr>
                <w:rFonts w:hint="eastAsia" w:cs="MS Mincho" w:asciiTheme="minorEastAsia" w:hAnsiTheme="minorEastAsia" w:eastAsiaTheme="minorEastAsia"/>
                <w:sz w:val="30"/>
                <w:szCs w:val="30"/>
              </w:rPr>
              <w:t>悬浮物，送植物油，ph值，五日生化需氧量，溶解性总固体）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大气污染物排放形式</w:t>
            </w:r>
          </w:p>
        </w:tc>
        <w:tc>
          <w:tcPr>
            <w:tcW w:w="1417" w:type="dxa"/>
          </w:tcPr>
          <w:p>
            <w:pPr>
              <w:pStyle w:val="12"/>
              <w:spacing w:after="0" w:line="220" w:lineRule="atLeast"/>
              <w:ind w:firstLine="0" w:firstLineChars="0"/>
              <w:jc w:val="center"/>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有组织</w:t>
            </w:r>
          </w:p>
        </w:tc>
        <w:tc>
          <w:tcPr>
            <w:tcW w:w="3119" w:type="dxa"/>
            <w:gridSpan w:val="3"/>
          </w:tcPr>
          <w:p>
            <w:pPr>
              <w:pStyle w:val="12"/>
              <w:spacing w:after="0" w:line="220" w:lineRule="atLeast"/>
              <w:ind w:firstLine="0" w:firstLineChars="0"/>
              <w:jc w:val="center"/>
              <w:rPr>
                <w:rFonts w:asciiTheme="minorEastAsia" w:hAnsiTheme="minorEastAsia" w:eastAsiaTheme="minorEastAsia"/>
                <w:sz w:val="30"/>
                <w:szCs w:val="30"/>
              </w:rPr>
            </w:pPr>
            <w:r>
              <w:rPr>
                <w:rFonts w:hint="eastAsia" w:asciiTheme="minorEastAsia" w:hAnsiTheme="minorEastAsia" w:eastAsiaTheme="minorEastAsia"/>
                <w:sz w:val="30"/>
                <w:szCs w:val="30"/>
              </w:rPr>
              <w:t>废水污染物排放形式</w:t>
            </w:r>
          </w:p>
        </w:tc>
        <w:tc>
          <w:tcPr>
            <w:tcW w:w="2693" w:type="dxa"/>
            <w:gridSpan w:val="2"/>
          </w:tcPr>
          <w:p>
            <w:pPr>
              <w:pStyle w:val="12"/>
              <w:spacing w:after="0" w:line="220" w:lineRule="atLeast"/>
              <w:ind w:firstLine="0" w:firstLineChars="0"/>
              <w:jc w:val="center"/>
              <w:rPr>
                <w:rFonts w:asciiTheme="minorEastAsia" w:hAnsiTheme="minorEastAsia" w:eastAsiaTheme="minorEastAsia"/>
                <w:sz w:val="30"/>
                <w:szCs w:val="30"/>
              </w:rPr>
            </w:pPr>
            <w:r>
              <w:rPr>
                <w:rFonts w:hint="eastAsia" w:eastAsia="MS Mincho" w:cs="MS Mincho" w:asciiTheme="minorEastAsia" w:hAnsiTheme="minorEastAsia"/>
                <w:sz w:val="30"/>
                <w:szCs w:val="30"/>
              </w:rPr>
              <w:t>☑</w:t>
            </w:r>
            <w:r>
              <w:rPr>
                <w:rFonts w:hint="eastAsia" w:cs="MS Mincho" w:asciiTheme="minorEastAsia" w:hAnsiTheme="minorEastAsia" w:eastAsiaTheme="minorEastAsia"/>
                <w:sz w:val="30"/>
                <w:szCs w:val="30"/>
              </w:rPr>
              <w:t>连续排放，流量稳定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大气污染物排放执行标准名称</w:t>
            </w:r>
          </w:p>
        </w:tc>
        <w:tc>
          <w:tcPr>
            <w:tcW w:w="7229" w:type="dxa"/>
            <w:gridSpan w:val="6"/>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锅炉大气污染物排放标准GB13271-2014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水污染物排放执行标准名称</w:t>
            </w:r>
          </w:p>
        </w:tc>
        <w:tc>
          <w:tcPr>
            <w:tcW w:w="7229" w:type="dxa"/>
            <w:gridSpan w:val="6"/>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污水综合排放标准GB8978-1996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3"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废气排放口编号</w:t>
            </w:r>
          </w:p>
        </w:tc>
        <w:tc>
          <w:tcPr>
            <w:tcW w:w="2126" w:type="dxa"/>
            <w:gridSpan w:val="2"/>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DA001(数量1)</w:t>
            </w:r>
          </w:p>
        </w:tc>
        <w:tc>
          <w:tcPr>
            <w:tcW w:w="2551" w:type="dxa"/>
            <w:gridSpan w:val="3"/>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废气排放口编号</w:t>
            </w:r>
          </w:p>
        </w:tc>
        <w:tc>
          <w:tcPr>
            <w:tcW w:w="2552" w:type="dxa"/>
          </w:tcPr>
          <w:p>
            <w:pPr>
              <w:pStyle w:val="12"/>
              <w:spacing w:after="0" w:line="220" w:lineRule="atLeast"/>
              <w:ind w:firstLine="0"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DW001(数量1)</w:t>
            </w:r>
          </w:p>
        </w:tc>
      </w:tr>
    </w:tbl>
    <w:p>
      <w:pPr>
        <w:pStyle w:val="12"/>
        <w:spacing w:line="220" w:lineRule="atLeast"/>
        <w:ind w:firstLine="0" w:firstLineChars="0"/>
        <w:rPr>
          <w:rFonts w:asciiTheme="minorEastAsia" w:hAnsiTheme="minorEastAsia" w:eastAsiaTheme="minorEastAsia"/>
          <w:sz w:val="32"/>
          <w:szCs w:val="32"/>
        </w:rPr>
      </w:pPr>
    </w:p>
    <w:p>
      <w:pPr>
        <w:pStyle w:val="12"/>
        <w:numPr>
          <w:ilvl w:val="0"/>
          <w:numId w:val="1"/>
        </w:numPr>
        <w:spacing w:line="220" w:lineRule="atLeast"/>
        <w:ind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防治污染设施的建设和运行情况</w:t>
      </w:r>
    </w:p>
    <w:p>
      <w:pPr>
        <w:pStyle w:val="12"/>
        <w:numPr>
          <w:ilvl w:val="0"/>
          <w:numId w:val="2"/>
        </w:numPr>
        <w:spacing w:line="220" w:lineRule="atLeast"/>
        <w:ind w:firstLineChars="0"/>
        <w:rPr>
          <w:rFonts w:asciiTheme="minorEastAsia" w:hAnsiTheme="minorEastAsia" w:eastAsiaTheme="minorEastAsia"/>
          <w:sz w:val="30"/>
          <w:szCs w:val="30"/>
        </w:rPr>
      </w:pPr>
      <w:r>
        <w:rPr>
          <w:rFonts w:hint="eastAsia" w:asciiTheme="minorEastAsia" w:hAnsiTheme="minorEastAsia" w:eastAsiaTheme="minorEastAsia"/>
          <w:sz w:val="30"/>
          <w:szCs w:val="30"/>
        </w:rPr>
        <w:t>废水</w:t>
      </w:r>
    </w:p>
    <w:p>
      <w:pPr>
        <w:spacing w:line="360" w:lineRule="auto"/>
        <w:ind w:firstLine="600" w:firstLineChars="200"/>
        <w:rPr>
          <w:rFonts w:ascii="宋体" w:hAnsi="宋体" w:eastAsia="宋体" w:cs="Times New Roman"/>
          <w:kern w:val="40"/>
          <w:sz w:val="30"/>
          <w:szCs w:val="30"/>
        </w:rPr>
      </w:pPr>
      <w:r>
        <w:rPr>
          <w:rFonts w:ascii="宋体" w:hAnsi="宋体" w:eastAsia="宋体" w:cs="Times New Roman"/>
          <w:kern w:val="40"/>
          <w:sz w:val="30"/>
          <w:szCs w:val="30"/>
        </w:rPr>
        <w:t>哈兽研所污水处理站接纳全所区的生产废水（含病原微生物废水在实验室及车间排出前进行灭活预处理）和生活污水。采用</w:t>
      </w:r>
      <w:r>
        <w:rPr>
          <w:rFonts w:ascii="宋体" w:hAnsi="宋体" w:eastAsia="宋体" w:cs="Times New Roman"/>
          <w:sz w:val="30"/>
          <w:szCs w:val="30"/>
        </w:rPr>
        <w:t>“灭活+调节池+初沉池+接触氧化+二沉池+消毒”</w:t>
      </w:r>
      <w:r>
        <w:rPr>
          <w:rFonts w:ascii="宋体" w:hAnsi="宋体" w:eastAsia="宋体" w:cs="Times New Roman"/>
          <w:kern w:val="40"/>
          <w:sz w:val="30"/>
          <w:szCs w:val="30"/>
        </w:rPr>
        <w:t>工艺进行处理，处理能力为</w:t>
      </w:r>
      <w:r>
        <w:rPr>
          <w:rFonts w:hint="eastAsia" w:ascii="宋体" w:hAnsi="宋体" w:eastAsia="宋体" w:cs="Times New Roman"/>
          <w:kern w:val="40"/>
          <w:sz w:val="30"/>
          <w:szCs w:val="30"/>
          <w:lang w:val="en-US" w:eastAsia="zh-CN"/>
        </w:rPr>
        <w:t>860</w:t>
      </w:r>
      <w:r>
        <w:rPr>
          <w:rFonts w:ascii="宋体" w:hAnsi="宋体" w:eastAsia="宋体" w:cs="Times New Roman"/>
          <w:kern w:val="40"/>
          <w:sz w:val="30"/>
          <w:szCs w:val="30"/>
        </w:rPr>
        <w:t>m</w:t>
      </w:r>
      <w:r>
        <w:rPr>
          <w:rFonts w:ascii="宋体" w:hAnsi="宋体" w:eastAsia="宋体" w:cs="Times New Roman"/>
          <w:kern w:val="40"/>
          <w:sz w:val="30"/>
          <w:szCs w:val="30"/>
          <w:vertAlign w:val="superscript"/>
        </w:rPr>
        <w:t>3</w:t>
      </w:r>
      <w:r>
        <w:rPr>
          <w:rFonts w:ascii="宋体" w:hAnsi="宋体" w:eastAsia="宋体" w:cs="Times New Roman"/>
          <w:kern w:val="40"/>
          <w:sz w:val="30"/>
          <w:szCs w:val="30"/>
        </w:rPr>
        <w:t>/d，出水指标为COD≤100mg/L，目前实际处理量约</w:t>
      </w:r>
      <w:r>
        <w:rPr>
          <w:rFonts w:hint="eastAsia" w:ascii="宋体" w:hAnsi="宋体" w:eastAsia="宋体" w:cs="Times New Roman"/>
          <w:kern w:val="40"/>
          <w:sz w:val="30"/>
          <w:szCs w:val="30"/>
        </w:rPr>
        <w:t>6</w:t>
      </w:r>
      <w:r>
        <w:rPr>
          <w:rFonts w:hint="eastAsia" w:ascii="宋体" w:hAnsi="宋体" w:eastAsia="宋体" w:cs="Times New Roman"/>
          <w:kern w:val="40"/>
          <w:sz w:val="30"/>
          <w:szCs w:val="30"/>
          <w:lang w:val="en-US" w:eastAsia="zh-CN"/>
        </w:rPr>
        <w:t>0</w:t>
      </w:r>
      <w:r>
        <w:rPr>
          <w:rFonts w:hint="eastAsia" w:ascii="宋体" w:hAnsi="宋体" w:eastAsia="宋体" w:cs="Times New Roman"/>
          <w:kern w:val="40"/>
          <w:sz w:val="30"/>
          <w:szCs w:val="30"/>
        </w:rPr>
        <w:t>0</w:t>
      </w:r>
      <w:r>
        <w:rPr>
          <w:rFonts w:ascii="宋体" w:hAnsi="宋体" w:eastAsia="宋体" w:cs="Times New Roman"/>
          <w:kern w:val="40"/>
          <w:sz w:val="30"/>
          <w:szCs w:val="30"/>
        </w:rPr>
        <w:t>m</w:t>
      </w:r>
      <w:r>
        <w:rPr>
          <w:rFonts w:ascii="宋体" w:hAnsi="宋体" w:eastAsia="宋体" w:cs="Times New Roman"/>
          <w:kern w:val="40"/>
          <w:sz w:val="30"/>
          <w:szCs w:val="30"/>
          <w:vertAlign w:val="superscript"/>
        </w:rPr>
        <w:t>3</w:t>
      </w:r>
      <w:r>
        <w:rPr>
          <w:rFonts w:ascii="宋体" w:hAnsi="宋体" w:eastAsia="宋体" w:cs="Times New Roman"/>
          <w:kern w:val="40"/>
          <w:sz w:val="30"/>
          <w:szCs w:val="30"/>
        </w:rPr>
        <w:t>/d，出水COD约为2</w:t>
      </w:r>
      <w:r>
        <w:rPr>
          <w:rFonts w:hint="eastAsia" w:ascii="宋体" w:hAnsi="宋体" w:eastAsia="宋体" w:cs="Times New Roman"/>
          <w:kern w:val="40"/>
          <w:sz w:val="30"/>
          <w:szCs w:val="30"/>
          <w:lang w:val="en-US" w:eastAsia="zh-CN"/>
        </w:rPr>
        <w:t>8</w:t>
      </w:r>
      <w:r>
        <w:rPr>
          <w:rFonts w:ascii="宋体" w:hAnsi="宋体" w:eastAsia="宋体" w:cs="Times New Roman"/>
          <w:kern w:val="40"/>
          <w:sz w:val="30"/>
          <w:szCs w:val="30"/>
        </w:rPr>
        <w:t>mg/L。本项目的污水处理量在其处理能力之内。</w:t>
      </w:r>
    </w:p>
    <w:p>
      <w:pPr>
        <w:spacing w:line="360" w:lineRule="auto"/>
        <w:ind w:firstLine="600" w:firstLineChars="200"/>
        <w:rPr>
          <w:rFonts w:ascii="宋体" w:hAnsi="宋体" w:eastAsia="宋体" w:cs="Times New Roman"/>
          <w:kern w:val="40"/>
          <w:sz w:val="30"/>
          <w:szCs w:val="30"/>
        </w:rPr>
      </w:pPr>
      <w:r>
        <w:rPr>
          <w:rFonts w:ascii="宋体" w:hAnsi="宋体" w:eastAsia="宋体" w:cs="Times New Roman"/>
          <w:kern w:val="40"/>
          <w:sz w:val="30"/>
          <w:szCs w:val="30"/>
        </w:rPr>
        <w:t>哈兽研所动物感染实验室动物尿液及隔离器、笼具等排放的洗刷废水经所区污水处理站处理后出水达到《污水综合排放标准》（GB8978-1996）一级标准，排入市政管网，经何家沟截留管网进入平房污水处理厂进一步处理达到《城镇污水处理厂污染物排放标准》(GB18918-2002)一级B标准后，排入松花江。</w:t>
      </w:r>
    </w:p>
    <w:p>
      <w:pPr>
        <w:spacing w:line="360" w:lineRule="auto"/>
        <w:ind w:firstLine="600" w:firstLineChars="200"/>
        <w:rPr>
          <w:rFonts w:hint="default" w:ascii="宋体" w:hAnsi="宋体" w:eastAsia="宋体" w:cs="Times New Roman"/>
          <w:kern w:val="40"/>
          <w:sz w:val="30"/>
          <w:szCs w:val="30"/>
          <w:lang w:val="en-US" w:eastAsia="zh-CN"/>
        </w:rPr>
      </w:pPr>
      <w:r>
        <w:rPr>
          <w:rFonts w:hint="eastAsia" w:ascii="宋体" w:hAnsi="宋体" w:eastAsia="宋体" w:cs="Times New Roman"/>
          <w:kern w:val="40"/>
          <w:sz w:val="30"/>
          <w:szCs w:val="30"/>
          <w:lang w:val="en-US" w:eastAsia="zh-CN"/>
        </w:rPr>
        <w:t>COD、氨氮在线监测设备已联网，污水每季度监测一次。</w:t>
      </w:r>
    </w:p>
    <w:p>
      <w:pPr>
        <w:pStyle w:val="12"/>
        <w:numPr>
          <w:ilvl w:val="0"/>
          <w:numId w:val="2"/>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废气</w:t>
      </w:r>
    </w:p>
    <w:p>
      <w:pPr>
        <w:spacing w:line="360" w:lineRule="auto"/>
        <w:ind w:firstLine="600" w:firstLineChars="200"/>
        <w:rPr>
          <w:rFonts w:hint="eastAsia" w:ascii="宋体" w:hAnsi="宋体" w:eastAsia="宋体" w:cs="Times New Roman"/>
          <w:kern w:val="40"/>
          <w:sz w:val="30"/>
          <w:szCs w:val="30"/>
          <w:lang w:val="en-US" w:eastAsia="zh-CN"/>
        </w:rPr>
      </w:pPr>
      <w:r>
        <w:rPr>
          <w:rFonts w:hint="eastAsia" w:ascii="宋体" w:hAnsi="宋体" w:eastAsia="宋体" w:cs="Times New Roman"/>
          <w:kern w:val="40"/>
          <w:sz w:val="30"/>
          <w:szCs w:val="30"/>
        </w:rPr>
        <w:t>本单位共有</w:t>
      </w:r>
      <w:r>
        <w:rPr>
          <w:rFonts w:hint="eastAsia" w:ascii="宋体" w:hAnsi="宋体" w:eastAsia="宋体" w:cs="Times New Roman"/>
          <w:kern w:val="40"/>
          <w:sz w:val="30"/>
          <w:szCs w:val="30"/>
          <w:lang w:eastAsia="zh-CN"/>
        </w:rPr>
        <w:t>三</w:t>
      </w:r>
      <w:r>
        <w:rPr>
          <w:rFonts w:hint="eastAsia" w:ascii="宋体" w:hAnsi="宋体" w:eastAsia="宋体" w:cs="Times New Roman"/>
          <w:kern w:val="40"/>
          <w:sz w:val="30"/>
          <w:szCs w:val="30"/>
        </w:rPr>
        <w:t>个排放口，共计三台锅炉，分别是二台20t/h燃气锅炉和一台10t/h燃气锅炉。本单位与哈尔滨合力投资控股有限公司签订合同，由其公司</w:t>
      </w:r>
      <w:r>
        <w:rPr>
          <w:rFonts w:hint="eastAsia" w:ascii="宋体" w:hAnsi="宋体" w:eastAsia="宋体" w:cs="Times New Roman"/>
          <w:kern w:val="40"/>
          <w:sz w:val="30"/>
          <w:szCs w:val="30"/>
          <w:lang w:eastAsia="zh-CN"/>
        </w:rPr>
        <w:t>长期</w:t>
      </w:r>
      <w:r>
        <w:rPr>
          <w:rFonts w:hint="eastAsia" w:ascii="宋体" w:hAnsi="宋体" w:eastAsia="宋体" w:cs="Times New Roman"/>
          <w:kern w:val="40"/>
          <w:sz w:val="30"/>
          <w:szCs w:val="30"/>
        </w:rPr>
        <w:t>向本单位提供蒸汽，</w:t>
      </w:r>
      <w:r>
        <w:rPr>
          <w:rFonts w:hint="eastAsia" w:ascii="宋体" w:hAnsi="宋体" w:eastAsia="宋体" w:cs="Times New Roman"/>
          <w:kern w:val="40"/>
          <w:sz w:val="30"/>
          <w:szCs w:val="30"/>
          <w:lang w:eastAsia="zh-CN"/>
        </w:rPr>
        <w:t>按《</w:t>
      </w:r>
      <w:r>
        <w:rPr>
          <w:rFonts w:hint="eastAsia" w:ascii="宋体" w:hAnsi="宋体" w:eastAsia="宋体" w:cs="Times New Roman"/>
          <w:kern w:val="40"/>
          <w:sz w:val="30"/>
          <w:szCs w:val="30"/>
          <w:lang w:val="en-US" w:eastAsia="zh-CN"/>
        </w:rPr>
        <w:t>污染源自动监测设备安装建设技术要求》要求，我单位符合可暂不安装自动监测设备的情形，详情请见附件1。</w:t>
      </w:r>
    </w:p>
    <w:p>
      <w:pPr>
        <w:spacing w:line="360" w:lineRule="auto"/>
        <w:ind w:firstLine="600" w:firstLineChars="200"/>
        <w:rPr>
          <w:rFonts w:hint="eastAsia" w:cs="Times New Roman" w:asciiTheme="minorEastAsia" w:hAnsiTheme="minorEastAsia" w:eastAsiaTheme="minorEastAsia"/>
          <w:kern w:val="40"/>
          <w:sz w:val="30"/>
          <w:szCs w:val="30"/>
          <w:lang w:eastAsia="zh-CN"/>
        </w:rPr>
      </w:pPr>
      <w:r>
        <w:rPr>
          <w:rFonts w:hint="eastAsia" w:ascii="宋体" w:hAnsi="宋体" w:eastAsia="宋体" w:cs="Times New Roman"/>
          <w:kern w:val="40"/>
          <w:sz w:val="30"/>
          <w:szCs w:val="30"/>
          <w:lang w:val="en-US" w:eastAsia="zh-CN"/>
        </w:rPr>
        <w:t>厂界无组织臭气，每季度监测一次。</w:t>
      </w:r>
    </w:p>
    <w:p>
      <w:pPr>
        <w:numPr>
          <w:ilvl w:val="0"/>
          <w:numId w:val="2"/>
        </w:numPr>
        <w:spacing w:line="360" w:lineRule="auto"/>
        <w:ind w:left="1080" w:leftChars="0" w:hanging="1080" w:firstLineChars="0"/>
        <w:rPr>
          <w:rFonts w:hint="eastAsia" w:cs="Times New Roman" w:asciiTheme="minorEastAsia" w:hAnsiTheme="minorEastAsia" w:eastAsiaTheme="minorEastAsia"/>
          <w:kern w:val="40"/>
          <w:sz w:val="30"/>
          <w:szCs w:val="30"/>
          <w:lang w:eastAsia="zh-CN"/>
        </w:rPr>
      </w:pPr>
      <w:r>
        <w:rPr>
          <w:rFonts w:hint="eastAsia" w:cs="Times New Roman" w:asciiTheme="minorEastAsia" w:hAnsiTheme="minorEastAsia" w:eastAsiaTheme="minorEastAsia"/>
          <w:kern w:val="40"/>
          <w:sz w:val="30"/>
          <w:szCs w:val="30"/>
          <w:lang w:eastAsia="zh-CN"/>
        </w:rPr>
        <w:t>危险废物</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Chars="0" w:firstLine="600" w:firstLineChars="200"/>
        <w:textAlignment w:val="auto"/>
        <w:rPr>
          <w:rFonts w:hint="default" w:cs="Times New Roman" w:asciiTheme="minorEastAsia" w:hAnsiTheme="minorEastAsia" w:eastAsiaTheme="minorEastAsia"/>
          <w:kern w:val="40"/>
          <w:sz w:val="30"/>
          <w:szCs w:val="30"/>
          <w:lang w:val="en-US" w:eastAsia="zh-CN"/>
        </w:rPr>
      </w:pPr>
      <w:r>
        <w:rPr>
          <w:rFonts w:hint="eastAsia" w:cs="Times New Roman" w:asciiTheme="minorEastAsia" w:hAnsiTheme="minorEastAsia" w:eastAsiaTheme="minorEastAsia"/>
          <w:kern w:val="40"/>
          <w:sz w:val="30"/>
          <w:szCs w:val="30"/>
          <w:lang w:val="en-US" w:eastAsia="zh-CN"/>
        </w:rPr>
        <w:t>我单位危险废物由哈尔滨国环医疗固体废物无害化集中处置中心有限公司统一处理，第一 季度危险废物无贮存。</w:t>
      </w:r>
    </w:p>
    <w:p>
      <w:pPr>
        <w:adjustRightInd/>
        <w:snapToGrid/>
        <w:spacing w:line="220" w:lineRule="atLeast"/>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lang w:eastAsia="zh-CN"/>
        </w:rPr>
        <w:drawing>
          <wp:anchor distT="0" distB="0" distL="114300" distR="114300" simplePos="0" relativeHeight="251659264" behindDoc="0" locked="0" layoutInCell="1" allowOverlap="1">
            <wp:simplePos x="0" y="0"/>
            <wp:positionH relativeFrom="column">
              <wp:posOffset>58420</wp:posOffset>
            </wp:positionH>
            <wp:positionV relativeFrom="paragraph">
              <wp:posOffset>115570</wp:posOffset>
            </wp:positionV>
            <wp:extent cx="5505450" cy="4128135"/>
            <wp:effectExtent l="0" t="0" r="0" b="5715"/>
            <wp:wrapSquare wrapText="bothSides"/>
            <wp:docPr id="2" name="图片 2" descr="07a57c481106ec46f320fdb4422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7a57c481106ec46f320fdb44220853"/>
                    <pic:cNvPicPr>
                      <a:picLocks noChangeAspect="1"/>
                    </pic:cNvPicPr>
                  </pic:nvPicPr>
                  <pic:blipFill>
                    <a:blip r:embed="rId7"/>
                    <a:stretch>
                      <a:fillRect/>
                    </a:stretch>
                  </pic:blipFill>
                  <pic:spPr>
                    <a:xfrm>
                      <a:off x="0" y="0"/>
                      <a:ext cx="5505450" cy="4128135"/>
                    </a:xfrm>
                    <a:prstGeom prst="rect">
                      <a:avLst/>
                    </a:prstGeom>
                  </pic:spPr>
                </pic:pic>
              </a:graphicData>
            </a:graphic>
          </wp:anchor>
        </w:drawing>
      </w:r>
    </w:p>
    <w:p>
      <w:pPr>
        <w:pStyle w:val="12"/>
        <w:numPr>
          <w:ilvl w:val="0"/>
          <w:numId w:val="1"/>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建设项目环境影响评价及其他环境保护行政许可情况</w:t>
      </w:r>
    </w:p>
    <w:p>
      <w:pPr>
        <w:pStyle w:val="12"/>
        <w:numPr>
          <w:ilvl w:val="0"/>
          <w:numId w:val="3"/>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关于中国农业科学院哈尔滨兽医研究所科研实验用房项目环境影响报告表的批复（黑环建审</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2008</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74号）</w:t>
      </w:r>
    </w:p>
    <w:p>
      <w:pPr>
        <w:pStyle w:val="12"/>
        <w:numPr>
          <w:ilvl w:val="0"/>
          <w:numId w:val="3"/>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关于中国农业科学院哈尔滨兽医研究所实验动物生产设施建设项目竣工环境保护验收意见（哈环经审</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2016</w:t>
      </w:r>
      <w:r>
        <w:rPr>
          <w:rFonts w:cs="Times New Roman" w:asciiTheme="minorEastAsia" w:hAnsiTheme="minorEastAsia" w:eastAsiaTheme="minorEastAsia"/>
          <w:kern w:val="40"/>
          <w:sz w:val="30"/>
          <w:szCs w:val="30"/>
        </w:rPr>
        <w:t>]</w:t>
      </w:r>
      <w:r>
        <w:rPr>
          <w:rFonts w:hint="eastAsia" w:cs="Times New Roman" w:asciiTheme="minorEastAsia" w:hAnsiTheme="minorEastAsia" w:eastAsiaTheme="minorEastAsia"/>
          <w:kern w:val="40"/>
          <w:sz w:val="30"/>
          <w:szCs w:val="30"/>
        </w:rPr>
        <w:t>62号）</w:t>
      </w:r>
    </w:p>
    <w:p>
      <w:pPr>
        <w:pStyle w:val="12"/>
        <w:numPr>
          <w:ilvl w:val="0"/>
          <w:numId w:val="0"/>
        </w:numPr>
        <w:spacing w:line="360" w:lineRule="auto"/>
        <w:ind w:leftChars="0"/>
        <w:rPr>
          <w:rFonts w:cs="Times New Roman" w:asciiTheme="minorEastAsia" w:hAnsiTheme="minorEastAsia" w:eastAsiaTheme="minorEastAsia"/>
          <w:kern w:val="40"/>
          <w:sz w:val="30"/>
          <w:szCs w:val="30"/>
        </w:rPr>
      </w:pPr>
    </w:p>
    <w:p>
      <w:pPr>
        <w:pStyle w:val="12"/>
        <w:numPr>
          <w:ilvl w:val="0"/>
          <w:numId w:val="1"/>
        </w:numPr>
        <w:spacing w:line="360" w:lineRule="auto"/>
        <w:ind w:firstLineChars="0"/>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rPr>
        <w:t>突发环境事件应急预案</w:t>
      </w:r>
    </w:p>
    <w:p>
      <w:pPr>
        <w:pStyle w:val="12"/>
        <w:spacing w:line="360" w:lineRule="auto"/>
        <w:ind w:left="720" w:firstLine="300" w:firstLineChars="100"/>
        <w:rPr>
          <w:rFonts w:hint="eastAsia" w:cs="Times New Roman" w:asciiTheme="minorEastAsia" w:hAnsiTheme="minorEastAsia" w:eastAsiaTheme="minorEastAsia"/>
          <w:kern w:val="40"/>
          <w:sz w:val="30"/>
          <w:szCs w:val="30"/>
          <w:lang w:eastAsia="zh-CN"/>
        </w:rPr>
      </w:pPr>
      <w:r>
        <w:rPr>
          <w:rFonts w:hint="eastAsia" w:cs="Times New Roman" w:asciiTheme="minorEastAsia" w:hAnsiTheme="minorEastAsia" w:eastAsiaTheme="minorEastAsia"/>
          <w:kern w:val="40"/>
          <w:sz w:val="30"/>
          <w:szCs w:val="30"/>
        </w:rPr>
        <w:t>我单位编制《突发环境事件应急预案（2020年版）》已在环保局备案</w:t>
      </w:r>
      <w:r>
        <w:rPr>
          <w:rFonts w:hint="eastAsia" w:cs="Times New Roman" w:asciiTheme="minorEastAsia" w:hAnsiTheme="minorEastAsia" w:eastAsiaTheme="minorEastAsia"/>
          <w:kern w:val="40"/>
          <w:sz w:val="30"/>
          <w:szCs w:val="30"/>
          <w:lang w:eastAsia="zh-CN"/>
        </w:rPr>
        <w:t>。</w:t>
      </w:r>
    </w:p>
    <w:p>
      <w:pPr>
        <w:adjustRightInd/>
        <w:snapToGrid/>
        <w:spacing w:line="220" w:lineRule="atLeast"/>
        <w:rPr>
          <w:rFonts w:cs="Times New Roman" w:asciiTheme="minorEastAsia" w:hAnsiTheme="minorEastAsia" w:eastAsiaTheme="minorEastAsia"/>
          <w:kern w:val="40"/>
          <w:sz w:val="30"/>
          <w:szCs w:val="30"/>
        </w:rPr>
      </w:pPr>
      <w:r>
        <w:rPr>
          <w:rFonts w:hint="eastAsia" w:cs="Times New Roman" w:asciiTheme="minorEastAsia" w:hAnsiTheme="minorEastAsia" w:eastAsiaTheme="minorEastAsia"/>
          <w:kern w:val="40"/>
          <w:sz w:val="30"/>
          <w:szCs w:val="30"/>
          <w:lang w:eastAsia="zh-CN"/>
        </w:rPr>
        <w:t>六、</w:t>
      </w:r>
      <w:r>
        <w:rPr>
          <w:rFonts w:hint="eastAsia" w:cs="Times New Roman" w:asciiTheme="minorEastAsia" w:hAnsiTheme="minorEastAsia" w:eastAsiaTheme="minorEastAsia"/>
          <w:kern w:val="40"/>
          <w:sz w:val="30"/>
          <w:szCs w:val="30"/>
        </w:rPr>
        <w:t>企业信息公开情况（自行监测方案）</w:t>
      </w:r>
      <w:r>
        <w:rPr>
          <w:rFonts w:cs="Times New Roman" w:asciiTheme="minorEastAsia" w:hAnsiTheme="minorEastAsia" w:eastAsiaTheme="minorEastAsia"/>
          <w:kern w:val="40"/>
          <w:sz w:val="30"/>
          <w:szCs w:val="30"/>
        </w:rPr>
        <w:drawing>
          <wp:inline distT="0" distB="0" distL="0" distR="0">
            <wp:extent cx="5518785" cy="2120265"/>
            <wp:effectExtent l="19050" t="0" r="5715" b="0"/>
            <wp:docPr id="7" name="图片 6" descr="8648ac57bfa929880b97db6f734e1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8648ac57bfa929880b97db6f734e1ed.jpg"/>
                    <pic:cNvPicPr>
                      <a:picLocks noChangeAspect="1"/>
                    </pic:cNvPicPr>
                  </pic:nvPicPr>
                  <pic:blipFill>
                    <a:blip r:embed="rId8" cstate="print"/>
                    <a:stretch>
                      <a:fillRect/>
                    </a:stretch>
                  </pic:blipFill>
                  <pic:spPr>
                    <a:xfrm>
                      <a:off x="0" y="0"/>
                      <a:ext cx="5518785" cy="2120265"/>
                    </a:xfrm>
                    <a:prstGeom prst="rect">
                      <a:avLst/>
                    </a:prstGeom>
                  </pic:spPr>
                </pic:pic>
              </a:graphicData>
            </a:graphic>
          </wp:inline>
        </w:drawing>
      </w:r>
      <w:r>
        <w:rPr>
          <w:rFonts w:cs="Times New Roman" w:asciiTheme="minorEastAsia" w:hAnsiTheme="minorEastAsia" w:eastAsiaTheme="minorEastAsia"/>
          <w:kern w:val="40"/>
          <w:sz w:val="30"/>
          <w:szCs w:val="30"/>
        </w:rPr>
        <w:drawing>
          <wp:inline distT="0" distB="0" distL="0" distR="0">
            <wp:extent cx="5515610" cy="1898650"/>
            <wp:effectExtent l="0" t="0" r="8890" b="6350"/>
            <wp:docPr id="5" name="图片 4" descr="360截图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60截图2.png"/>
                    <pic:cNvPicPr>
                      <a:picLocks noChangeAspect="1"/>
                    </pic:cNvPicPr>
                  </pic:nvPicPr>
                  <pic:blipFill>
                    <a:blip r:embed="rId9" cstate="print"/>
                    <a:stretch>
                      <a:fillRect/>
                    </a:stretch>
                  </pic:blipFill>
                  <pic:spPr>
                    <a:xfrm>
                      <a:off x="0" y="0"/>
                      <a:ext cx="5518785" cy="1898650"/>
                    </a:xfrm>
                    <a:prstGeom prst="rect">
                      <a:avLst/>
                    </a:prstGeom>
                  </pic:spPr>
                </pic:pic>
              </a:graphicData>
            </a:graphic>
          </wp:inline>
        </w:drawing>
      </w:r>
      <w:r>
        <w:rPr>
          <w:rFonts w:cs="Times New Roman" w:asciiTheme="minorEastAsia" w:hAnsiTheme="minorEastAsia" w:eastAsiaTheme="minorEastAsia"/>
          <w:kern w:val="40"/>
          <w:sz w:val="30"/>
          <w:szCs w:val="30"/>
        </w:rPr>
        <w:drawing>
          <wp:inline distT="0" distB="0" distL="0" distR="0">
            <wp:extent cx="5518785" cy="2752725"/>
            <wp:effectExtent l="19050" t="0" r="5715" b="0"/>
            <wp:docPr id="6" name="图片 5" descr="360截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360截图3.png"/>
                    <pic:cNvPicPr>
                      <a:picLocks noChangeAspect="1"/>
                    </pic:cNvPicPr>
                  </pic:nvPicPr>
                  <pic:blipFill>
                    <a:blip r:embed="rId10" cstate="print"/>
                    <a:stretch>
                      <a:fillRect/>
                    </a:stretch>
                  </pic:blipFill>
                  <pic:spPr>
                    <a:xfrm>
                      <a:off x="0" y="0"/>
                      <a:ext cx="5518785" cy="2752725"/>
                    </a:xfrm>
                    <a:prstGeom prst="rect">
                      <a:avLst/>
                    </a:prstGeom>
                  </pic:spPr>
                </pic:pic>
              </a:graphicData>
            </a:graphic>
          </wp:inline>
        </w:drawing>
      </w:r>
    </w:p>
    <w:p>
      <w:pPr>
        <w:pStyle w:val="12"/>
        <w:spacing w:line="360" w:lineRule="auto"/>
        <w:ind w:left="720" w:firstLine="0" w:firstLineChars="0"/>
        <w:rPr>
          <w:rFonts w:hint="eastAsia" w:ascii="宋体" w:hAnsi="宋体" w:eastAsia="宋体" w:cs="Times New Roman"/>
          <w:kern w:val="40"/>
          <w:sz w:val="30"/>
          <w:szCs w:val="30"/>
          <w:lang w:val="en-US" w:eastAsia="zh-CN"/>
        </w:rPr>
      </w:pPr>
      <w:r>
        <w:rPr>
          <w:rFonts w:hint="eastAsia" w:cs="Times New Roman" w:asciiTheme="minorEastAsia" w:hAnsiTheme="minorEastAsia" w:eastAsiaTheme="minorEastAsia"/>
          <w:kern w:val="40"/>
          <w:sz w:val="30"/>
          <w:szCs w:val="30"/>
          <w:lang w:eastAsia="zh-CN"/>
        </w:rPr>
        <w:t>附件</w:t>
      </w:r>
      <w:r>
        <w:rPr>
          <w:rFonts w:hint="eastAsia" w:cs="Times New Roman" w:asciiTheme="minorEastAsia" w:hAnsiTheme="minorEastAsia" w:eastAsiaTheme="minorEastAsia"/>
          <w:kern w:val="40"/>
          <w:sz w:val="30"/>
          <w:szCs w:val="30"/>
          <w:lang w:val="en-US" w:eastAsia="zh-CN"/>
        </w:rPr>
        <w:t>1</w:t>
      </w:r>
      <w:r>
        <w:rPr>
          <w:rFonts w:hint="eastAsia" w:ascii="宋体" w:hAnsi="宋体" w:eastAsia="宋体" w:cs="Times New Roman"/>
          <w:kern w:val="40"/>
          <w:sz w:val="30"/>
          <w:szCs w:val="30"/>
          <w:lang w:val="en-US" w:eastAsia="zh-CN"/>
        </w:rPr>
        <w:t>染源自动监测设备安装建设技术要求</w:t>
      </w:r>
    </w:p>
    <w:p>
      <w:pPr>
        <w:pStyle w:val="12"/>
        <w:spacing w:line="360" w:lineRule="auto"/>
        <w:ind w:left="720" w:firstLine="0" w:firstLineChars="0"/>
        <w:rPr>
          <w:rFonts w:hint="default" w:ascii="宋体" w:hAnsi="宋体" w:eastAsia="宋体" w:cs="Times New Roman"/>
          <w:kern w:val="40"/>
          <w:sz w:val="30"/>
          <w:szCs w:val="30"/>
          <w:lang w:val="en-US" w:eastAsia="zh-CN"/>
        </w:rPr>
      </w:pPr>
      <w:r>
        <w:rPr>
          <w:rFonts w:hint="default" w:ascii="宋体" w:hAnsi="宋体" w:eastAsia="宋体" w:cs="Times New Roman"/>
          <w:kern w:val="40"/>
          <w:sz w:val="30"/>
          <w:szCs w:val="30"/>
          <w:lang w:val="en-US" w:eastAsia="zh-CN"/>
        </w:rPr>
        <w:drawing>
          <wp:inline distT="0" distB="0" distL="114300" distR="114300">
            <wp:extent cx="5518785" cy="7125335"/>
            <wp:effectExtent l="0" t="0" r="5715" b="18415"/>
            <wp:docPr id="8" name="图片 8" descr="35fcb551a478de13d6841561385be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5fcb551a478de13d6841561385befc"/>
                    <pic:cNvPicPr>
                      <a:picLocks noChangeAspect="1"/>
                    </pic:cNvPicPr>
                  </pic:nvPicPr>
                  <pic:blipFill>
                    <a:blip r:embed="rId11"/>
                    <a:stretch>
                      <a:fillRect/>
                    </a:stretch>
                  </pic:blipFill>
                  <pic:spPr>
                    <a:xfrm>
                      <a:off x="0" y="0"/>
                      <a:ext cx="5518785" cy="7125335"/>
                    </a:xfrm>
                    <a:prstGeom prst="rect">
                      <a:avLst/>
                    </a:prstGeom>
                  </pic:spPr>
                </pic:pic>
              </a:graphicData>
            </a:graphic>
          </wp:inline>
        </w:drawing>
      </w:r>
    </w:p>
    <w:p>
      <w:pPr>
        <w:pStyle w:val="12"/>
        <w:spacing w:line="360" w:lineRule="auto"/>
        <w:ind w:left="720" w:firstLine="0" w:firstLineChars="0"/>
        <w:rPr>
          <w:rFonts w:hint="default" w:ascii="宋体" w:hAnsi="宋体" w:eastAsia="宋体" w:cs="Times New Roman"/>
          <w:kern w:val="40"/>
          <w:sz w:val="30"/>
          <w:szCs w:val="30"/>
          <w:lang w:val="en-US" w:eastAsia="zh-CN"/>
        </w:rPr>
      </w:pPr>
      <w:r>
        <w:rPr>
          <w:rFonts w:hint="default" w:ascii="宋体" w:hAnsi="宋体" w:eastAsia="宋体" w:cs="Times New Roman"/>
          <w:kern w:val="40"/>
          <w:sz w:val="30"/>
          <w:szCs w:val="30"/>
          <w:lang w:val="en-US" w:eastAsia="zh-CN"/>
        </w:rPr>
        <w:drawing>
          <wp:inline distT="0" distB="0" distL="114300" distR="114300">
            <wp:extent cx="5514340" cy="7300595"/>
            <wp:effectExtent l="0" t="0" r="10160" b="14605"/>
            <wp:docPr id="9" name="图片 9" descr="212f1ed28e461c6262354554a3103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12f1ed28e461c6262354554a3103e8"/>
                    <pic:cNvPicPr>
                      <a:picLocks noChangeAspect="1"/>
                    </pic:cNvPicPr>
                  </pic:nvPicPr>
                  <pic:blipFill>
                    <a:blip r:embed="rId12"/>
                    <a:stretch>
                      <a:fillRect/>
                    </a:stretch>
                  </pic:blipFill>
                  <pic:spPr>
                    <a:xfrm>
                      <a:off x="0" y="0"/>
                      <a:ext cx="5514340" cy="7300595"/>
                    </a:xfrm>
                    <a:prstGeom prst="rect">
                      <a:avLst/>
                    </a:prstGeom>
                  </pic:spPr>
                </pic:pic>
              </a:graphicData>
            </a:graphic>
          </wp:inline>
        </w:drawing>
      </w:r>
      <w:r>
        <w:rPr>
          <w:rFonts w:hint="default" w:ascii="宋体" w:hAnsi="宋体" w:eastAsia="宋体" w:cs="Times New Roman"/>
          <w:kern w:val="40"/>
          <w:sz w:val="30"/>
          <w:szCs w:val="30"/>
          <w:lang w:val="en-US" w:eastAsia="zh-CN"/>
        </w:rPr>
        <w:drawing>
          <wp:inline distT="0" distB="0" distL="114300" distR="114300">
            <wp:extent cx="5518150" cy="7411720"/>
            <wp:effectExtent l="0" t="0" r="6350" b="17780"/>
            <wp:docPr id="10" name="图片 10" descr="7e8ab40aa35a5dcfa5ad48b9757d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7e8ab40aa35a5dcfa5ad48b9757de34"/>
                    <pic:cNvPicPr>
                      <a:picLocks noChangeAspect="1"/>
                    </pic:cNvPicPr>
                  </pic:nvPicPr>
                  <pic:blipFill>
                    <a:blip r:embed="rId13"/>
                    <a:stretch>
                      <a:fillRect/>
                    </a:stretch>
                  </pic:blipFill>
                  <pic:spPr>
                    <a:xfrm>
                      <a:off x="0" y="0"/>
                      <a:ext cx="5518150" cy="7411720"/>
                    </a:xfrm>
                    <a:prstGeom prst="rect">
                      <a:avLst/>
                    </a:prstGeom>
                  </pic:spPr>
                </pic:pic>
              </a:graphicData>
            </a:graphic>
          </wp:inline>
        </w:drawing>
      </w:r>
      <w:r>
        <w:rPr>
          <w:rFonts w:hint="default" w:ascii="宋体" w:hAnsi="宋体" w:eastAsia="宋体" w:cs="Times New Roman"/>
          <w:kern w:val="40"/>
          <w:sz w:val="30"/>
          <w:szCs w:val="30"/>
          <w:lang w:val="en-US" w:eastAsia="zh-CN"/>
        </w:rPr>
        <w:drawing>
          <wp:inline distT="0" distB="0" distL="114300" distR="114300">
            <wp:extent cx="5518785" cy="7228205"/>
            <wp:effectExtent l="0" t="0" r="5715" b="10795"/>
            <wp:docPr id="11" name="图片 11" descr="6ca2786383cbd0c0c51b82f6106f0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ca2786383cbd0c0c51b82f6106f0dd"/>
                    <pic:cNvPicPr>
                      <a:picLocks noChangeAspect="1"/>
                    </pic:cNvPicPr>
                  </pic:nvPicPr>
                  <pic:blipFill>
                    <a:blip r:embed="rId14"/>
                    <a:stretch>
                      <a:fillRect/>
                    </a:stretch>
                  </pic:blipFill>
                  <pic:spPr>
                    <a:xfrm>
                      <a:off x="0" y="0"/>
                      <a:ext cx="5518785" cy="7228205"/>
                    </a:xfrm>
                    <a:prstGeom prst="rect">
                      <a:avLst/>
                    </a:prstGeom>
                  </pic:spPr>
                </pic:pic>
              </a:graphicData>
            </a:graphic>
          </wp:inline>
        </w:drawing>
      </w:r>
      <w:r>
        <w:rPr>
          <w:rFonts w:hint="default" w:ascii="宋体" w:hAnsi="宋体" w:eastAsia="宋体" w:cs="Times New Roman"/>
          <w:kern w:val="40"/>
          <w:sz w:val="30"/>
          <w:szCs w:val="30"/>
          <w:lang w:val="en-US" w:eastAsia="zh-CN"/>
        </w:rPr>
        <w:drawing>
          <wp:inline distT="0" distB="0" distL="114300" distR="114300">
            <wp:extent cx="5514975" cy="7316470"/>
            <wp:effectExtent l="0" t="0" r="9525" b="17780"/>
            <wp:docPr id="12" name="图片 12" descr="264f84b536d03d9b6b1f4cc6b3d7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64f84b536d03d9b6b1f4cc6b3d7326"/>
                    <pic:cNvPicPr>
                      <a:picLocks noChangeAspect="1"/>
                    </pic:cNvPicPr>
                  </pic:nvPicPr>
                  <pic:blipFill>
                    <a:blip r:embed="rId15"/>
                    <a:stretch>
                      <a:fillRect/>
                    </a:stretch>
                  </pic:blipFill>
                  <pic:spPr>
                    <a:xfrm>
                      <a:off x="0" y="0"/>
                      <a:ext cx="5514975" cy="7316470"/>
                    </a:xfrm>
                    <a:prstGeom prst="rect">
                      <a:avLst/>
                    </a:prstGeom>
                  </pic:spPr>
                </pic:pic>
              </a:graphicData>
            </a:graphic>
          </wp:inline>
        </w:drawing>
      </w:r>
    </w:p>
    <w:p>
      <w:pPr>
        <w:pStyle w:val="12"/>
        <w:spacing w:line="360" w:lineRule="auto"/>
        <w:ind w:left="0" w:leftChars="0" w:firstLine="0" w:firstLineChars="0"/>
        <w:rPr>
          <w:rFonts w:hint="default" w:ascii="宋体" w:hAnsi="宋体" w:eastAsia="宋体" w:cs="Times New Roman"/>
          <w:kern w:val="40"/>
          <w:sz w:val="30"/>
          <w:szCs w:val="30"/>
          <w:lang w:val="en-US" w:eastAsia="zh-CN"/>
        </w:rPr>
      </w:pPr>
    </w:p>
    <w:p>
      <w:pPr>
        <w:pStyle w:val="12"/>
        <w:spacing w:line="360" w:lineRule="auto"/>
        <w:ind w:left="720" w:firstLine="0" w:firstLineChars="0"/>
        <w:rPr>
          <w:rFonts w:hint="default" w:ascii="宋体" w:hAnsi="宋体" w:eastAsia="宋体" w:cs="Times New Roman"/>
          <w:kern w:val="40"/>
          <w:sz w:val="30"/>
          <w:szCs w:val="30"/>
          <w:lang w:val="en-US" w:eastAsia="zh-CN"/>
        </w:rPr>
      </w:pPr>
    </w:p>
    <w:sectPr>
      <w:pgSz w:w="11906" w:h="16838"/>
      <w:pgMar w:top="1758" w:right="1797" w:bottom="1440" w:left="1418" w:header="709" w:footer="709"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MS Mincho">
    <w:altName w:val="Yu Gothic UI"/>
    <w:panose1 w:val="02020609040205080304"/>
    <w:charset w:val="80"/>
    <w:family w:val="moder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ED569A2"/>
    <w:multiLevelType w:val="multilevel"/>
    <w:tmpl w:val="2ED569A2"/>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676B5157"/>
    <w:multiLevelType w:val="multilevel"/>
    <w:tmpl w:val="676B5157"/>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76126AEF"/>
    <w:multiLevelType w:val="multilevel"/>
    <w:tmpl w:val="76126AEF"/>
    <w:lvl w:ilvl="0" w:tentative="0">
      <w:start w:val="1"/>
      <w:numFmt w:val="japaneseCounting"/>
      <w:lvlText w:val="（%1）"/>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VmNTRlYTI2YWVmNTk3MjE5OGQyNDI4MjAzMThjZTAifQ=="/>
  </w:docVars>
  <w:rsids>
    <w:rsidRoot w:val="00D31D50"/>
    <w:rsid w:val="00060A0B"/>
    <w:rsid w:val="000A433C"/>
    <w:rsid w:val="000F1114"/>
    <w:rsid w:val="000F1619"/>
    <w:rsid w:val="0014397F"/>
    <w:rsid w:val="00145910"/>
    <w:rsid w:val="001F3685"/>
    <w:rsid w:val="00202896"/>
    <w:rsid w:val="002558E0"/>
    <w:rsid w:val="002A5A9C"/>
    <w:rsid w:val="00303123"/>
    <w:rsid w:val="00323B43"/>
    <w:rsid w:val="003B4FE2"/>
    <w:rsid w:val="003D37D8"/>
    <w:rsid w:val="00426133"/>
    <w:rsid w:val="004345AE"/>
    <w:rsid w:val="004358AB"/>
    <w:rsid w:val="004E4830"/>
    <w:rsid w:val="005872F1"/>
    <w:rsid w:val="0058763B"/>
    <w:rsid w:val="0064499A"/>
    <w:rsid w:val="0068041E"/>
    <w:rsid w:val="006A09E0"/>
    <w:rsid w:val="006B35FD"/>
    <w:rsid w:val="006E4612"/>
    <w:rsid w:val="006F6034"/>
    <w:rsid w:val="007B4C17"/>
    <w:rsid w:val="007F6365"/>
    <w:rsid w:val="0089549D"/>
    <w:rsid w:val="008B7726"/>
    <w:rsid w:val="00904B95"/>
    <w:rsid w:val="00966449"/>
    <w:rsid w:val="00A33736"/>
    <w:rsid w:val="00A970ED"/>
    <w:rsid w:val="00CA008D"/>
    <w:rsid w:val="00D31D50"/>
    <w:rsid w:val="00DD276C"/>
    <w:rsid w:val="00E5098A"/>
    <w:rsid w:val="00E62BB9"/>
    <w:rsid w:val="00EA250F"/>
    <w:rsid w:val="00EC27B2"/>
    <w:rsid w:val="00F178BF"/>
    <w:rsid w:val="00F62C96"/>
    <w:rsid w:val="04F52539"/>
    <w:rsid w:val="1BFE2B8F"/>
    <w:rsid w:val="258572D4"/>
    <w:rsid w:val="2C03260C"/>
    <w:rsid w:val="4D044CC4"/>
    <w:rsid w:val="527D39EB"/>
    <w:rsid w:val="57A23387"/>
    <w:rsid w:val="63932495"/>
    <w:rsid w:val="69A85D6A"/>
    <w:rsid w:val="6CFD60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semiHidden/>
    <w:unhideWhenUsed/>
    <w:qFormat/>
    <w:uiPriority w:val="99"/>
    <w:pPr>
      <w:spacing w:after="0"/>
    </w:pPr>
    <w:rPr>
      <w:sz w:val="18"/>
      <w:szCs w:val="18"/>
    </w:rPr>
  </w:style>
  <w:style w:type="paragraph" w:styleId="3">
    <w:name w:val="footer"/>
    <w:basedOn w:val="1"/>
    <w:link w:val="10"/>
    <w:semiHidden/>
    <w:unhideWhenUsed/>
    <w:qFormat/>
    <w:uiPriority w:val="99"/>
    <w:pPr>
      <w:tabs>
        <w:tab w:val="center" w:pos="4153"/>
        <w:tab w:val="right" w:pos="8306"/>
      </w:tabs>
    </w:pPr>
    <w:rPr>
      <w:sz w:val="18"/>
      <w:szCs w:val="18"/>
    </w:rPr>
  </w:style>
  <w:style w:type="paragraph" w:styleId="4">
    <w:name w:val="header"/>
    <w:basedOn w:val="1"/>
    <w:link w:val="9"/>
    <w:semiHidden/>
    <w:unhideWhenUsed/>
    <w:qFormat/>
    <w:uiPriority w:val="99"/>
    <w:pPr>
      <w:pBdr>
        <w:bottom w:val="single" w:color="auto" w:sz="6" w:space="1"/>
      </w:pBdr>
      <w:tabs>
        <w:tab w:val="center" w:pos="4153"/>
        <w:tab w:val="right" w:pos="8306"/>
      </w:tabs>
      <w:jc w:val="center"/>
    </w:pPr>
    <w:rPr>
      <w:sz w:val="18"/>
      <w:szCs w:val="18"/>
    </w:rPr>
  </w:style>
  <w:style w:type="paragraph" w:styleId="5">
    <w:name w:val="Normal (Web)"/>
    <w:basedOn w:val="1"/>
    <w:qFormat/>
    <w:uiPriority w:val="0"/>
    <w:pPr>
      <w:adjustRightInd/>
      <w:snapToGrid/>
      <w:spacing w:before="100" w:beforeAutospacing="1" w:after="100" w:afterAutospacing="1"/>
    </w:pPr>
    <w:rPr>
      <w:rFonts w:hint="eastAsia" w:ascii="宋体" w:hAnsi="宋体" w:eastAsia="宋体" w:cs="Times New Roman"/>
      <w:color w:val="000000"/>
      <w:sz w:val="24"/>
      <w:szCs w:val="24"/>
    </w:rPr>
  </w:style>
  <w:style w:type="table" w:styleId="7">
    <w:name w:val="Table Grid"/>
    <w:basedOn w:val="6"/>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9">
    <w:name w:val="页眉 Char"/>
    <w:basedOn w:val="8"/>
    <w:link w:val="4"/>
    <w:semiHidden/>
    <w:qFormat/>
    <w:uiPriority w:val="99"/>
    <w:rPr>
      <w:rFonts w:ascii="Tahoma" w:hAnsi="Tahoma"/>
      <w:sz w:val="18"/>
      <w:szCs w:val="18"/>
    </w:rPr>
  </w:style>
  <w:style w:type="character" w:customStyle="1" w:styleId="10">
    <w:name w:val="页脚 Char"/>
    <w:basedOn w:val="8"/>
    <w:link w:val="3"/>
    <w:semiHidden/>
    <w:qFormat/>
    <w:uiPriority w:val="99"/>
    <w:rPr>
      <w:rFonts w:ascii="Tahoma" w:hAnsi="Tahoma"/>
      <w:sz w:val="18"/>
      <w:szCs w:val="18"/>
    </w:rPr>
  </w:style>
  <w:style w:type="character" w:customStyle="1" w:styleId="11">
    <w:name w:val="批注框文本 Char"/>
    <w:basedOn w:val="8"/>
    <w:link w:val="2"/>
    <w:semiHidden/>
    <w:qFormat/>
    <w:uiPriority w:val="99"/>
    <w:rPr>
      <w:rFonts w:ascii="Tahoma" w:hAnsi="Tahoma"/>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11</Pages>
  <Words>1062</Words>
  <Characters>1240</Characters>
  <Lines>8</Lines>
  <Paragraphs>2</Paragraphs>
  <TotalTime>2</TotalTime>
  <ScaleCrop>false</ScaleCrop>
  <LinksUpToDate>false</LinksUpToDate>
  <CharactersWithSpaces>1247</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2008-09-11T17:20:00Z</dcterms:created>
  <dc:creator>Administrator</dc:creator>
  <cp:lastModifiedBy>邓彦莉</cp:lastModifiedBy>
  <dcterms:modified xsi:type="dcterms:W3CDTF">2022-07-22T08:10:19Z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7E49CB5F320D4C869A9C3AE5ECC7C14F</vt:lpwstr>
  </property>
</Properties>
</file>